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DA14" w14:textId="77777777" w:rsidR="008166FB" w:rsidRPr="008166FB" w:rsidRDefault="008166FB" w:rsidP="00AE3C22">
      <w:pPr>
        <w:jc w:val="center"/>
        <w:rPr>
          <w:b/>
          <w:bCs/>
          <w:sz w:val="24"/>
          <w:szCs w:val="24"/>
        </w:rPr>
      </w:pPr>
      <w:r w:rsidRPr="008166FB">
        <w:rPr>
          <w:b/>
          <w:bCs/>
          <w:sz w:val="24"/>
          <w:szCs w:val="24"/>
        </w:rPr>
        <w:t xml:space="preserve">Prof. Dr. </w:t>
      </w:r>
      <w:r w:rsidR="005918E7" w:rsidRPr="008166FB">
        <w:rPr>
          <w:b/>
          <w:bCs/>
          <w:sz w:val="24"/>
          <w:szCs w:val="24"/>
        </w:rPr>
        <w:t xml:space="preserve">Luc Lavrysen </w:t>
      </w:r>
      <w:r w:rsidRPr="008166FB">
        <w:rPr>
          <w:b/>
          <w:bCs/>
          <w:sz w:val="24"/>
          <w:szCs w:val="24"/>
        </w:rPr>
        <w:t>– emeritus professor environmental law Ghent University</w:t>
      </w:r>
    </w:p>
    <w:p w14:paraId="20E5557A" w14:textId="36C58367" w:rsidR="005918E7" w:rsidRPr="008166FB" w:rsidRDefault="008166FB" w:rsidP="00AE3C22">
      <w:pPr>
        <w:jc w:val="center"/>
        <w:rPr>
          <w:sz w:val="24"/>
          <w:szCs w:val="24"/>
        </w:rPr>
      </w:pPr>
      <w:r w:rsidRPr="008166FB">
        <w:rPr>
          <w:b/>
          <w:bCs/>
          <w:sz w:val="24"/>
          <w:szCs w:val="24"/>
        </w:rPr>
        <w:t>F</w:t>
      </w:r>
      <w:r w:rsidR="005918E7" w:rsidRPr="008166FB">
        <w:rPr>
          <w:b/>
          <w:bCs/>
          <w:sz w:val="24"/>
          <w:szCs w:val="24"/>
        </w:rPr>
        <w:t>ormer President of the Belgian Constitutional Court</w:t>
      </w:r>
      <w:r w:rsidR="005918E7" w:rsidRPr="008166FB">
        <w:rPr>
          <w:sz w:val="24"/>
          <w:szCs w:val="24"/>
        </w:rPr>
        <w:br/>
      </w:r>
    </w:p>
    <w:p w14:paraId="7C8867E2" w14:textId="6CEB34AD" w:rsidR="005918E7" w:rsidRPr="00AE3C22" w:rsidRDefault="005918E7" w:rsidP="00E025B9">
      <w:pPr>
        <w:jc w:val="both"/>
        <w:rPr>
          <w:b/>
          <w:bCs/>
        </w:rPr>
      </w:pPr>
      <w:r w:rsidRPr="00AE3C22">
        <w:rPr>
          <w:b/>
          <w:bCs/>
        </w:rPr>
        <w:t>What may and must courts review in climate cases? A concise framing of the role of courts in climate litigation: where political discretion ends, where legal duties begin, and why judicial review of inadequate climate policy is not an intrusion into politics but a safeguard against unlawful inaction</w:t>
      </w:r>
      <w:r w:rsidR="008166FB">
        <w:rPr>
          <w:b/>
          <w:bCs/>
        </w:rPr>
        <w:t>.</w:t>
      </w:r>
    </w:p>
    <w:p w14:paraId="413A697C" w14:textId="77777777" w:rsidR="005918E7" w:rsidRPr="00AE3C22" w:rsidRDefault="005918E7" w:rsidP="00E025B9">
      <w:pPr>
        <w:jc w:val="both"/>
      </w:pPr>
    </w:p>
    <w:p w14:paraId="116B7512" w14:textId="74EE0219" w:rsidR="005918E7" w:rsidRPr="00AE3C22" w:rsidRDefault="005918E7" w:rsidP="00E025B9">
      <w:pPr>
        <w:jc w:val="both"/>
      </w:pPr>
      <w:r w:rsidRPr="00AE3C22">
        <w:t>My starting point: the</w:t>
      </w:r>
      <w:r w:rsidR="00AE3C22">
        <w:t xml:space="preserve"> European Convention on Human Rights (</w:t>
      </w:r>
      <w:r w:rsidRPr="00AE3C22">
        <w:t>ECHR</w:t>
      </w:r>
      <w:r w:rsidR="00AE3C22">
        <w:t xml:space="preserve">) </w:t>
      </w:r>
      <w:r w:rsidRPr="00AE3C22">
        <w:t xml:space="preserve"> as interpreted by the </w:t>
      </w:r>
      <w:r w:rsidR="00AE3C22">
        <w:t>European Court of  Human Rights (</w:t>
      </w:r>
      <w:r w:rsidRPr="00AE3C22">
        <w:t>ECtHR</w:t>
      </w:r>
      <w:r w:rsidR="00AE3C22">
        <w:t>)</w:t>
      </w:r>
      <w:r w:rsidR="00E62707" w:rsidRPr="00AE3C22">
        <w:t xml:space="preserve">.  </w:t>
      </w:r>
      <w:r w:rsidRPr="00AE3C22">
        <w:t>These are minimum standards for all M</w:t>
      </w:r>
      <w:r w:rsidR="00AE3C22">
        <w:t>ember States</w:t>
      </w:r>
      <w:r w:rsidRPr="00AE3C22">
        <w:t xml:space="preserve"> of the Council of Europe </w:t>
      </w:r>
      <w:r w:rsidR="00AE3C22">
        <w:t xml:space="preserve">: </w:t>
      </w:r>
      <w:r w:rsidRPr="00AE3C22">
        <w:t>46 Member States - 700 million citizens</w:t>
      </w:r>
      <w:r w:rsidR="00AE3C22">
        <w:t>. F</w:t>
      </w:r>
      <w:r w:rsidRPr="00AE3C22">
        <w:t xml:space="preserve">ollowing the war </w:t>
      </w:r>
      <w:r w:rsidR="0025093A" w:rsidRPr="00AE3C22">
        <w:t xml:space="preserve">between </w:t>
      </w:r>
      <w:r w:rsidRPr="00AE3C22">
        <w:t>Russia and Ukraine the Russian Federation has been excluded in 2022 and Belarus has never been a M</w:t>
      </w:r>
      <w:r w:rsidR="00AE3C22">
        <w:t>ember State</w:t>
      </w:r>
      <w:r w:rsidRPr="00AE3C22">
        <w:t xml:space="preserve"> due to its bad human rights report</w:t>
      </w:r>
      <w:r w:rsidR="00AE3C22">
        <w:t>.</w:t>
      </w:r>
    </w:p>
    <w:p w14:paraId="1ACAEABF" w14:textId="6C8E0921" w:rsidR="005918E7" w:rsidRDefault="00375E3A" w:rsidP="00E025B9">
      <w:pPr>
        <w:jc w:val="both"/>
      </w:pPr>
      <w:r w:rsidRPr="00AE3C22">
        <w:t>One should</w:t>
      </w:r>
      <w:r w:rsidR="0025093A" w:rsidRPr="00AE3C22">
        <w:t xml:space="preserve">, to start with, </w:t>
      </w:r>
      <w:r w:rsidRPr="00AE3C22">
        <w:t xml:space="preserve"> refer to the </w:t>
      </w:r>
      <w:r w:rsidR="005918E7" w:rsidRPr="00AE3C22">
        <w:t xml:space="preserve"> </w:t>
      </w:r>
      <w:r w:rsidR="005918E7" w:rsidRPr="00AE3C22">
        <w:rPr>
          <w:i/>
          <w:iCs/>
        </w:rPr>
        <w:t xml:space="preserve">KlimaSeniorinnen </w:t>
      </w:r>
      <w:r w:rsidR="005918E7" w:rsidRPr="00AE3C22">
        <w:t xml:space="preserve">judgment of </w:t>
      </w:r>
      <w:r w:rsidRPr="00AE3C22">
        <w:t xml:space="preserve"> 9 April 2024</w:t>
      </w:r>
      <w:r w:rsidR="00AE3C22">
        <w:t xml:space="preserve">. It is a </w:t>
      </w:r>
      <w:r w:rsidRPr="00AE3C22">
        <w:t xml:space="preserve">Grand Chamber </w:t>
      </w:r>
      <w:r w:rsidR="00AE3C22">
        <w:t xml:space="preserve"> judgment adopted </w:t>
      </w:r>
      <w:r w:rsidRPr="00AE3C22">
        <w:t xml:space="preserve">nearly </w:t>
      </w:r>
      <w:r w:rsidR="00AE3C22">
        <w:t xml:space="preserve">by </w:t>
      </w:r>
      <w:r w:rsidRPr="00AE3C22">
        <w:t xml:space="preserve">unanimity (16 </w:t>
      </w:r>
      <w:r w:rsidR="0025093A" w:rsidRPr="00AE3C22">
        <w:t>v</w:t>
      </w:r>
      <w:r w:rsidRPr="00AE3C22">
        <w:t xml:space="preserve"> 1</w:t>
      </w:r>
      <w:r w:rsidR="00AE3C22">
        <w:t xml:space="preserve"> – art. 8; 17 v 0 – art. 6). So there is no appeal possible and one should give great weight to this judgment.</w:t>
      </w:r>
    </w:p>
    <w:p w14:paraId="2C99F7BC" w14:textId="77777777" w:rsidR="00AE3C22" w:rsidRPr="00AE3C22" w:rsidRDefault="00AE3C22" w:rsidP="00E025B9">
      <w:pPr>
        <w:jc w:val="both"/>
      </w:pPr>
    </w:p>
    <w:p w14:paraId="565BB8D8" w14:textId="40C52B7D" w:rsidR="00375E3A" w:rsidRPr="00AE3C22" w:rsidRDefault="008F4CCD" w:rsidP="00E025B9">
      <w:pPr>
        <w:pStyle w:val="Lijstalinea"/>
        <w:numPr>
          <w:ilvl w:val="0"/>
          <w:numId w:val="2"/>
        </w:numPr>
        <w:jc w:val="both"/>
        <w:rPr>
          <w:b/>
          <w:bCs/>
          <w:i/>
          <w:iCs/>
        </w:rPr>
      </w:pPr>
      <w:r w:rsidRPr="00AE3C22">
        <w:rPr>
          <w:b/>
          <w:bCs/>
          <w:i/>
          <w:iCs/>
        </w:rPr>
        <w:t>Who has standing ?</w:t>
      </w:r>
    </w:p>
    <w:p w14:paraId="7D163F5A" w14:textId="1D3F7E7C" w:rsidR="00375E3A" w:rsidRPr="00AE3C22" w:rsidRDefault="00375E3A" w:rsidP="00E025B9">
      <w:pPr>
        <w:jc w:val="both"/>
      </w:pPr>
      <w:r w:rsidRPr="00AE3C22">
        <w:t xml:space="preserve">Standing before the ECtHR </w:t>
      </w:r>
      <w:r w:rsidR="00AE3C22">
        <w:t xml:space="preserve">: </w:t>
      </w:r>
      <w:r w:rsidRPr="00AE3C22">
        <w:t>one must be a victim of a human rights violation</w:t>
      </w:r>
      <w:r w:rsidR="008F4CCD" w:rsidRPr="00AE3C22">
        <w:t xml:space="preserve"> and have exhausted national remedies</w:t>
      </w:r>
      <w:r w:rsidR="00B960FD" w:rsidRPr="00AE3C22">
        <w:t>.</w:t>
      </w:r>
    </w:p>
    <w:p w14:paraId="7E8195C7" w14:textId="36980CD7" w:rsidR="005C30CF" w:rsidRPr="00AE3C22" w:rsidRDefault="00375E3A" w:rsidP="00E025B9">
      <w:pPr>
        <w:jc w:val="both"/>
        <w:rPr>
          <w:i/>
          <w:iCs/>
        </w:rPr>
      </w:pPr>
      <w:r w:rsidRPr="00AE3C22">
        <w:rPr>
          <w:i/>
          <w:iCs/>
        </w:rPr>
        <w:t>Individuals</w:t>
      </w:r>
    </w:p>
    <w:p w14:paraId="20BF067C" w14:textId="37A3E6A1" w:rsidR="00375E3A" w:rsidRPr="00AE3C22" w:rsidRDefault="005C30CF" w:rsidP="00E025B9">
      <w:pPr>
        <w:jc w:val="both"/>
      </w:pPr>
      <w:r w:rsidRPr="00AE3C22">
        <w:t>T</w:t>
      </w:r>
      <w:r w:rsidR="00375E3A" w:rsidRPr="00AE3C22">
        <w:t xml:space="preserve">o claim victim status in the context of complaints concerning harm or risk of harm resulting from alleged failures by the State to combat climate change, an applicant needs </w:t>
      </w:r>
      <w:r w:rsidR="00AE3C22">
        <w:t xml:space="preserve">according to the ECtHR </w:t>
      </w:r>
      <w:r w:rsidR="00375E3A" w:rsidRPr="00AE3C22">
        <w:t>to show that he or she was personally and directly affected by the impugned failures:</w:t>
      </w:r>
    </w:p>
    <w:p w14:paraId="5B68897A" w14:textId="77777777" w:rsidR="00375E3A" w:rsidRPr="00AE3C22" w:rsidRDefault="00375E3A" w:rsidP="00E025B9">
      <w:pPr>
        <w:pStyle w:val="Lijstalinea"/>
        <w:numPr>
          <w:ilvl w:val="0"/>
          <w:numId w:val="1"/>
        </w:numPr>
        <w:jc w:val="both"/>
      </w:pPr>
      <w:r w:rsidRPr="00AE3C22">
        <w:t>(a)  the applicant must be subject to a high intensity of exposure to the adverse effects of climate change, that is, the level and severity of (the risk of) adverse consequences of governmental action or inaction affecting the applicant must be significant; and</w:t>
      </w:r>
    </w:p>
    <w:p w14:paraId="546F03A2" w14:textId="77777777" w:rsidR="00375E3A" w:rsidRPr="00AE3C22" w:rsidRDefault="00375E3A" w:rsidP="00E025B9">
      <w:pPr>
        <w:pStyle w:val="Lijstalinea"/>
        <w:numPr>
          <w:ilvl w:val="0"/>
          <w:numId w:val="1"/>
        </w:numPr>
        <w:jc w:val="both"/>
      </w:pPr>
      <w:r w:rsidRPr="00AE3C22">
        <w:t>(b)  there must be a pressing need to ensure the applicant’s individual protection, owing to the absence or inadequacy of any reasonable measures to reduce harm.</w:t>
      </w:r>
    </w:p>
    <w:p w14:paraId="51B13C74" w14:textId="3E4D8677" w:rsidR="001413A9" w:rsidRPr="00AE3C22" w:rsidRDefault="00375E3A" w:rsidP="00E025B9">
      <w:pPr>
        <w:jc w:val="both"/>
      </w:pPr>
      <w:r w:rsidRPr="00AE3C22">
        <w:t>E.g. victims of climate change related floodings would have access to the Court</w:t>
      </w:r>
      <w:r w:rsidR="008F4CCD" w:rsidRPr="00AE3C22">
        <w:t xml:space="preserve"> if their case has not been dealt with </w:t>
      </w:r>
      <w:r w:rsidR="00B960FD" w:rsidRPr="00AE3C22">
        <w:t xml:space="preserve">in a proper way </w:t>
      </w:r>
      <w:r w:rsidR="008F4CCD" w:rsidRPr="00AE3C22">
        <w:t>at national level.</w:t>
      </w:r>
    </w:p>
    <w:p w14:paraId="5AE3040A" w14:textId="0375F117" w:rsidR="00375E3A" w:rsidRPr="00AE3C22" w:rsidRDefault="001413A9" w:rsidP="00E025B9">
      <w:pPr>
        <w:jc w:val="both"/>
      </w:pPr>
      <w:r w:rsidRPr="00AE3C22">
        <w:t>O</w:t>
      </w:r>
      <w:r w:rsidR="00375E3A" w:rsidRPr="00AE3C22">
        <w:t xml:space="preserve">n the national level </w:t>
      </w:r>
      <w:r w:rsidR="00D70569" w:rsidRPr="00AE3C22">
        <w:t xml:space="preserve">standing is not “victim” based but “interest based” </w:t>
      </w:r>
      <w:r w:rsidRPr="00AE3C22">
        <w:t>. C</w:t>
      </w:r>
      <w:r w:rsidR="00D70569" w:rsidRPr="00AE3C22">
        <w:t>laimants must prove a personal, direct, and existing material or moral interest in the outcome</w:t>
      </w:r>
      <w:r w:rsidRPr="00AE3C22">
        <w:t xml:space="preserve"> of a case.</w:t>
      </w:r>
      <w:r w:rsidR="0025093A" w:rsidRPr="00AE3C22">
        <w:t xml:space="preserve"> So a wider access to the court should be guaranteed.</w:t>
      </w:r>
    </w:p>
    <w:p w14:paraId="1154D6BD" w14:textId="3F2C6610" w:rsidR="00D70569" w:rsidRPr="00AE3C22" w:rsidRDefault="00D70569" w:rsidP="00E025B9">
      <w:pPr>
        <w:jc w:val="both"/>
      </w:pPr>
      <w:r w:rsidRPr="00AE3C22">
        <w:tab/>
        <w:t xml:space="preserve">e.g. </w:t>
      </w:r>
      <w:r w:rsidR="008F4CCD" w:rsidRPr="00AE3C22">
        <w:t>The</w:t>
      </w:r>
      <w:r w:rsidRPr="00AE3C22">
        <w:t xml:space="preserve"> </w:t>
      </w:r>
      <w:r w:rsidR="008F4CCD" w:rsidRPr="00AE3C22">
        <w:t xml:space="preserve">Court of Appeal of  Brussels in its November 30, 2023 </w:t>
      </w:r>
      <w:r w:rsidRPr="00AE3C22">
        <w:t xml:space="preserve">judgment in </w:t>
      </w:r>
      <w:r w:rsidRPr="00AE3C22">
        <w:rPr>
          <w:i/>
          <w:iCs/>
        </w:rPr>
        <w:t xml:space="preserve">Klimaatzaak  </w:t>
      </w:r>
      <w:r w:rsidRPr="00AE3C22">
        <w:t>held with regard to the individuals joining the case, that the potential impact of climate change on the private and family life of each individual on the planet is sufficiently demonstrated</w:t>
      </w:r>
      <w:r w:rsidR="001413A9" w:rsidRPr="00AE3C22">
        <w:t>, t</w:t>
      </w:r>
      <w:r w:rsidRPr="00AE3C22">
        <w:t xml:space="preserve">he extent of the already existing consequences of climate change and the magnitude of the risks it entails allow for the conclusion, with sufficient legal certainty, that each of the natural persons who are </w:t>
      </w:r>
      <w:r w:rsidRPr="00AE3C22">
        <w:lastRenderedPageBreak/>
        <w:t>validly involved in the proceedings has a legitimate interest in obtaining the judgments sought against the public authorities</w:t>
      </w:r>
      <w:r w:rsidR="00B960FD" w:rsidRPr="00AE3C22">
        <w:t>.</w:t>
      </w:r>
    </w:p>
    <w:p w14:paraId="18771B8C" w14:textId="426FD323" w:rsidR="00EB0AFE" w:rsidRPr="00AE3C22" w:rsidRDefault="001413A9" w:rsidP="00E025B9">
      <w:pPr>
        <w:jc w:val="both"/>
      </w:pPr>
      <w:r w:rsidRPr="00AE3C22">
        <w:tab/>
        <w:t xml:space="preserve">In the </w:t>
      </w:r>
      <w:r w:rsidRPr="00AE3C22">
        <w:rPr>
          <w:i/>
          <w:iCs/>
        </w:rPr>
        <w:t>We Are Nature Case</w:t>
      </w:r>
      <w:r w:rsidR="008F4CCD" w:rsidRPr="00AE3C22">
        <w:t xml:space="preserve"> the Court of First Instance held </w:t>
      </w:r>
      <w:r w:rsidR="005C30CF" w:rsidRPr="00AE3C22">
        <w:t xml:space="preserve"> in its judgment of </w:t>
      </w:r>
      <w:r w:rsidR="005C30CF" w:rsidRPr="00AE3C22">
        <w:rPr>
          <w:lang w:val="nl-BE"/>
        </w:rPr>
        <w:t>29 oktober 2025</w:t>
      </w:r>
      <w:r w:rsidR="00E62707" w:rsidRPr="00AE3C22">
        <w:rPr>
          <w:lang w:val="nl-BE"/>
        </w:rPr>
        <w:t xml:space="preserve"> </w:t>
      </w:r>
      <w:r w:rsidR="005C30CF" w:rsidRPr="00AE3C22">
        <w:t xml:space="preserve"> that </w:t>
      </w:r>
      <w:r w:rsidR="008F4CCD" w:rsidRPr="00AE3C22">
        <w:t xml:space="preserve"> natural persons</w:t>
      </w:r>
      <w:r w:rsidR="005C30CF" w:rsidRPr="00AE3C22">
        <w:t xml:space="preserve">, </w:t>
      </w:r>
      <w:r w:rsidR="008F4CCD" w:rsidRPr="00AE3C22">
        <w:t>residents of the Brussels-Capital Region (BCR) who experience the current and future negative consequences of climate change on their living conditions in an urban area</w:t>
      </w:r>
      <w:r w:rsidR="00E62707" w:rsidRPr="00AE3C22">
        <w:t>, d</w:t>
      </w:r>
      <w:r w:rsidR="008F4CCD" w:rsidRPr="00AE3C22">
        <w:t>emonstrate the required interest</w:t>
      </w:r>
      <w:r w:rsidR="00E62707" w:rsidRPr="00AE3C22">
        <w:t xml:space="preserve">, which is considered to be </w:t>
      </w:r>
      <w:r w:rsidR="008F4CCD" w:rsidRPr="00AE3C22">
        <w:t xml:space="preserve"> a direct and personal interest, even if it is shared with other residents. </w:t>
      </w:r>
    </w:p>
    <w:p w14:paraId="46B8B22C" w14:textId="77777777" w:rsidR="00E62707" w:rsidRPr="00AE3C22" w:rsidRDefault="00E62707" w:rsidP="00E025B9">
      <w:pPr>
        <w:jc w:val="both"/>
      </w:pPr>
    </w:p>
    <w:p w14:paraId="557B1807" w14:textId="0C94DE82" w:rsidR="00EB0AFE" w:rsidRPr="00AE3C22" w:rsidRDefault="00EB0AFE" w:rsidP="00E025B9">
      <w:pPr>
        <w:jc w:val="both"/>
        <w:rPr>
          <w:i/>
          <w:iCs/>
        </w:rPr>
      </w:pPr>
      <w:r w:rsidRPr="00AE3C22">
        <w:rPr>
          <w:i/>
          <w:iCs/>
        </w:rPr>
        <w:t>Environmental Organisations</w:t>
      </w:r>
    </w:p>
    <w:p w14:paraId="2D211CD0" w14:textId="3BE035B1" w:rsidR="00EB0AFE" w:rsidRPr="00AE3C22" w:rsidRDefault="00EB0AFE" w:rsidP="00E025B9">
      <w:pPr>
        <w:jc w:val="both"/>
      </w:pPr>
      <w:r w:rsidRPr="00AE3C22">
        <w:t>With reference to the Aarhus Convention</w:t>
      </w:r>
      <w:r w:rsidR="00AE3C22">
        <w:t xml:space="preserve"> </w:t>
      </w:r>
      <w:r w:rsidRPr="00AE3C22">
        <w:t>the ECtHR held that in order to be recognised as having </w:t>
      </w:r>
      <w:r w:rsidRPr="00AE3C22">
        <w:rPr>
          <w:i/>
          <w:iCs/>
        </w:rPr>
        <w:t>locus standi</w:t>
      </w:r>
      <w:r w:rsidRPr="00AE3C22">
        <w:t xml:space="preserve"> to lodge an application under Article 34 </w:t>
      </w:r>
      <w:r w:rsidR="00DD323C" w:rsidRPr="00AE3C22">
        <w:t xml:space="preserve">ECHR </w:t>
      </w:r>
      <w:r w:rsidRPr="00AE3C22">
        <w:t>on account of the alleged failure of a Contracting State to take adequate measures to protect individuals against the adverse effects of climate change on human lives and health, an association must be:</w:t>
      </w:r>
    </w:p>
    <w:p w14:paraId="44193568" w14:textId="77777777" w:rsidR="00EB0AFE" w:rsidRPr="00AE3C22" w:rsidRDefault="00EB0AFE" w:rsidP="00E025B9">
      <w:pPr>
        <w:jc w:val="both"/>
      </w:pPr>
      <w:r w:rsidRPr="00AE3C22">
        <w:t xml:space="preserve"> (a) lawfully established in the jurisdiction concerned or have standing to act there; </w:t>
      </w:r>
    </w:p>
    <w:p w14:paraId="49D36CF8" w14:textId="77777777" w:rsidR="00EB0AFE" w:rsidRPr="00AE3C22" w:rsidRDefault="00EB0AFE" w:rsidP="00E025B9">
      <w:pPr>
        <w:jc w:val="both"/>
      </w:pPr>
      <w:r w:rsidRPr="00AE3C22">
        <w:t xml:space="preserve">(b) able to demonstrate that it pursues a dedicated purpose in accordance with its statutory objectives in the defence of the human rights of its members or other affected individuals within the jurisdiction concerned, whether limited to or including collective action for the protection of those rights against the threats arising from climate change; and </w:t>
      </w:r>
    </w:p>
    <w:p w14:paraId="31C99EA9" w14:textId="1622A2FC" w:rsidR="00EB0AFE" w:rsidRPr="00AE3C22" w:rsidRDefault="00EB0AFE" w:rsidP="00E025B9">
      <w:pPr>
        <w:jc w:val="both"/>
      </w:pPr>
      <w:r w:rsidRPr="00AE3C22">
        <w:t>(c) able to demonstrate that it can be regarded as genuinely qualified and representative to act on behalf of members or other affected individuals within the jurisdiction who are subject to specific threats or adverse effects of climate change on their lives, health or well-being as protected under the Convention.</w:t>
      </w:r>
    </w:p>
    <w:p w14:paraId="37E68AFA" w14:textId="31D2EEBE" w:rsidR="00DD323C" w:rsidRPr="00AE3C22" w:rsidRDefault="00EB0AFE" w:rsidP="00E025B9">
      <w:pPr>
        <w:jc w:val="both"/>
      </w:pPr>
      <w:r w:rsidRPr="00AE3C22">
        <w:t>In Belgium</w:t>
      </w:r>
      <w:r w:rsidR="005C30CF" w:rsidRPr="00AE3C22">
        <w:t xml:space="preserve">, </w:t>
      </w:r>
      <w:r w:rsidRPr="00AE3C22">
        <w:t xml:space="preserve"> in civil matters the Articles 17 and 18 of the Judicial Code, </w:t>
      </w:r>
      <w:r w:rsidR="00DD323C" w:rsidRPr="00AE3C22">
        <w:t xml:space="preserve"> are dealing with standing, and those</w:t>
      </w:r>
      <w:r w:rsidRPr="00AE3C22">
        <w:t xml:space="preserve"> should be </w:t>
      </w:r>
      <w:r w:rsidR="005C30CF" w:rsidRPr="00AE3C22">
        <w:t>interpreted</w:t>
      </w:r>
      <w:r w:rsidRPr="00AE3C22">
        <w:t xml:space="preserve"> </w:t>
      </w:r>
      <w:r w:rsidR="005C30CF" w:rsidRPr="00AE3C22">
        <w:t xml:space="preserve">in </w:t>
      </w:r>
      <w:r w:rsidRPr="00AE3C22">
        <w:t xml:space="preserve"> the light of the Aarhus Convention</w:t>
      </w:r>
      <w:r w:rsidR="005C30CF" w:rsidRPr="00AE3C22">
        <w:t xml:space="preserve">. </w:t>
      </w:r>
    </w:p>
    <w:p w14:paraId="53B715FA" w14:textId="2378A689" w:rsidR="00DD323C" w:rsidRPr="00AE3C22" w:rsidRDefault="005C30CF" w:rsidP="00E025B9">
      <w:pPr>
        <w:jc w:val="both"/>
      </w:pPr>
      <w:r w:rsidRPr="00AE3C22">
        <w:t xml:space="preserve">An organisation that’s is defending collective interests, </w:t>
      </w:r>
      <w:r w:rsidR="00DD323C" w:rsidRPr="00AE3C22">
        <w:t xml:space="preserve">that has </w:t>
      </w:r>
      <w:r w:rsidRPr="00AE3C22">
        <w:t xml:space="preserve">a </w:t>
      </w:r>
      <w:r w:rsidR="0042644F" w:rsidRPr="00AE3C22">
        <w:t>statutory</w:t>
      </w:r>
      <w:r w:rsidRPr="00AE3C22">
        <w:t xml:space="preserve"> purpose as an non-profit association</w:t>
      </w:r>
      <w:r w:rsidR="00DD323C" w:rsidRPr="00AE3C22">
        <w:t xml:space="preserve"> </w:t>
      </w:r>
      <w:r w:rsidRPr="00AE3C22">
        <w:t>of a speci</w:t>
      </w:r>
      <w:r w:rsidR="00DD323C" w:rsidRPr="00AE3C22">
        <w:t xml:space="preserve">fic </w:t>
      </w:r>
      <w:r w:rsidRPr="00AE3C22">
        <w:t>nature, distinct from the public interest in general</w:t>
      </w:r>
      <w:r w:rsidR="00DD323C" w:rsidRPr="00AE3C22">
        <w:t xml:space="preserve"> and is </w:t>
      </w:r>
      <w:r w:rsidRPr="00AE3C22">
        <w:t xml:space="preserve"> pursu</w:t>
      </w:r>
      <w:r w:rsidR="00DD323C" w:rsidRPr="00AE3C22">
        <w:t xml:space="preserve">ing this </w:t>
      </w:r>
      <w:r w:rsidRPr="00AE3C22">
        <w:t>in a sustainable and effective manner</w:t>
      </w:r>
      <w:r w:rsidR="00DD323C" w:rsidRPr="00AE3C22">
        <w:t xml:space="preserve"> can bring </w:t>
      </w:r>
      <w:r w:rsidRPr="00AE3C22">
        <w:t xml:space="preserve">legal proceedings </w:t>
      </w:r>
      <w:r w:rsidR="00DD323C" w:rsidRPr="00AE3C22">
        <w:t xml:space="preserve"> </w:t>
      </w:r>
      <w:r w:rsidRPr="00AE3C22">
        <w:t xml:space="preserve">within the framework of </w:t>
      </w:r>
      <w:r w:rsidR="0042644F" w:rsidRPr="00AE3C22">
        <w:t>i</w:t>
      </w:r>
      <w:r w:rsidR="00B960FD" w:rsidRPr="00AE3C22">
        <w:t>ts</w:t>
      </w:r>
      <w:r w:rsidRPr="00AE3C22">
        <w:t xml:space="preserve"> purpose with a view to defending an interest connected therewith. </w:t>
      </w:r>
    </w:p>
    <w:p w14:paraId="6636D7F0" w14:textId="0210A5D9" w:rsidR="00EB0AFE" w:rsidRPr="00AE3C22" w:rsidRDefault="005C30CF" w:rsidP="00E025B9">
      <w:pPr>
        <w:jc w:val="both"/>
      </w:pPr>
      <w:r w:rsidRPr="00AE3C22">
        <w:t xml:space="preserve">Similar requirements </w:t>
      </w:r>
      <w:r w:rsidR="00E62707" w:rsidRPr="00AE3C22">
        <w:t>apply</w:t>
      </w:r>
      <w:r w:rsidRPr="00AE3C22">
        <w:t xml:space="preserve"> before administrative courts and the Constitutional Court</w:t>
      </w:r>
      <w:r w:rsidR="00E62707" w:rsidRPr="00AE3C22">
        <w:t>.</w:t>
      </w:r>
    </w:p>
    <w:p w14:paraId="035CAA19" w14:textId="77777777" w:rsidR="00E62707" w:rsidRPr="00AE3C22" w:rsidRDefault="00E62707" w:rsidP="00E025B9">
      <w:pPr>
        <w:jc w:val="both"/>
      </w:pPr>
    </w:p>
    <w:p w14:paraId="6E994BF3" w14:textId="648C606F" w:rsidR="00E62707" w:rsidRPr="008166FB" w:rsidRDefault="00E62707" w:rsidP="00E025B9">
      <w:pPr>
        <w:pStyle w:val="Lijstalinea"/>
        <w:numPr>
          <w:ilvl w:val="0"/>
          <w:numId w:val="1"/>
        </w:numPr>
        <w:jc w:val="both"/>
        <w:rPr>
          <w:b/>
          <w:bCs/>
          <w:i/>
          <w:iCs/>
        </w:rPr>
      </w:pPr>
      <w:r w:rsidRPr="008166FB">
        <w:rPr>
          <w:b/>
          <w:bCs/>
          <w:i/>
          <w:iCs/>
        </w:rPr>
        <w:t>What can be reviewed ?</w:t>
      </w:r>
    </w:p>
    <w:p w14:paraId="169D3E43" w14:textId="01AD6621" w:rsidR="00E62707" w:rsidRPr="00AE3C22" w:rsidRDefault="00E62707" w:rsidP="00E025B9">
      <w:pPr>
        <w:jc w:val="both"/>
      </w:pPr>
      <w:r w:rsidRPr="00AE3C22">
        <w:t xml:space="preserve">Here the minimum standard has also been set by the ECtHR in </w:t>
      </w:r>
      <w:r w:rsidR="00E025B9" w:rsidRPr="00AE3C22">
        <w:t>the</w:t>
      </w:r>
      <w:r w:rsidRPr="00AE3C22">
        <w:t xml:space="preserve"> </w:t>
      </w:r>
      <w:proofErr w:type="spellStart"/>
      <w:r w:rsidRPr="00AE3C22">
        <w:rPr>
          <w:i/>
          <w:iCs/>
        </w:rPr>
        <w:t>KlimaSeniorin</w:t>
      </w:r>
      <w:r w:rsidR="00E025B9" w:rsidRPr="00AE3C22">
        <w:rPr>
          <w:i/>
          <w:iCs/>
        </w:rPr>
        <w:t>n</w:t>
      </w:r>
      <w:r w:rsidRPr="00AE3C22">
        <w:rPr>
          <w:i/>
          <w:iCs/>
        </w:rPr>
        <w:t>en</w:t>
      </w:r>
      <w:proofErr w:type="spellEnd"/>
      <w:r w:rsidR="00E025B9" w:rsidRPr="00AE3C22">
        <w:t xml:space="preserve"> </w:t>
      </w:r>
      <w:r w:rsidRPr="00AE3C22">
        <w:t>case</w:t>
      </w:r>
      <w:r w:rsidR="00DD323C" w:rsidRPr="00AE3C22">
        <w:t>.</w:t>
      </w:r>
    </w:p>
    <w:p w14:paraId="023628B5" w14:textId="785C7C3B" w:rsidR="00E025B9" w:rsidRPr="00AE3C22" w:rsidRDefault="00E025B9" w:rsidP="00E025B9">
      <w:pPr>
        <w:jc w:val="both"/>
        <w:rPr>
          <w:i/>
          <w:iCs/>
        </w:rPr>
      </w:pPr>
      <w:r w:rsidRPr="00AE3C22">
        <w:t xml:space="preserve">The ECtHR held that in line with the international commitments undertaken by the member States, most notably under the UNFCCC and the Paris Agreement, and the cogent scientific evidence provided, in particular, by the IPCC </w:t>
      </w:r>
      <w:r w:rsidRPr="00AE3C22">
        <w:rPr>
          <w:i/>
          <w:iCs/>
        </w:rPr>
        <w:t>the Contracting States need to put in place the necessary regulations and measures aimed at preventing an increase in GHG concentrations in the Earth’s atmosphere and a rise in global average temperature beyond levels capable of producing serious and irreversible adverse effects on human rights, notably the right to private and family life and home under Article 8 of the Convention.</w:t>
      </w:r>
    </w:p>
    <w:p w14:paraId="72BBAECB" w14:textId="7D5AB16E" w:rsidR="00E025B9" w:rsidRPr="00AE3C22" w:rsidRDefault="0058222B" w:rsidP="00E025B9">
      <w:pPr>
        <w:jc w:val="both"/>
      </w:pPr>
      <w:r w:rsidRPr="00AE3C22">
        <w:lastRenderedPageBreak/>
        <w:t>E</w:t>
      </w:r>
      <w:r w:rsidR="00E025B9" w:rsidRPr="00AE3C22">
        <w:t xml:space="preserve">ffective respect for the rights protected by Article 8 </w:t>
      </w:r>
      <w:r w:rsidR="00AE3C22">
        <w:t xml:space="preserve">ECHR </w:t>
      </w:r>
      <w:r w:rsidR="00E025B9" w:rsidRPr="00AE3C22">
        <w:t>requires that each Contracting State undertake measures for the substantial and progressive reduction of their respective GHG emission levels, with a view to reaching net neutrality within, in principle, the next three decades. In this context, in order for the measures to be effective, it is incumbent on the public authorities to act in good time, in an appropriate and consistent manner</w:t>
      </w:r>
      <w:r w:rsidRPr="00AE3C22">
        <w:t>.</w:t>
      </w:r>
    </w:p>
    <w:p w14:paraId="6D3C6B3A" w14:textId="77777777" w:rsidR="003D2B9C" w:rsidRPr="00AE3C22" w:rsidRDefault="0058222B" w:rsidP="00E025B9">
      <w:pPr>
        <w:jc w:val="both"/>
      </w:pPr>
      <w:r w:rsidRPr="00AE3C22">
        <w:t>I</w:t>
      </w:r>
      <w:r w:rsidR="00E025B9" w:rsidRPr="00AE3C22">
        <w:t xml:space="preserve">n order for this to be genuinely feasible, and to avoid a disproportionate burden on future generations, immediate action needs to be taken and adequate intermediate reduction goals must be set for the period leading to net neutrality. Such measures should, in the first place, be incorporated into a binding regulatory framework at the national level, followed by adequate implementation. The relevant targets and timelines must form an integral part of the domestic regulatory framework, as a basis for general and sectoral mitigation measures. </w:t>
      </w:r>
    </w:p>
    <w:p w14:paraId="57CC97FE" w14:textId="479C0B75" w:rsidR="003D2B9C" w:rsidRPr="00AE3C22" w:rsidRDefault="003D2B9C" w:rsidP="00E025B9">
      <w:pPr>
        <w:jc w:val="both"/>
      </w:pPr>
      <w:r w:rsidRPr="00AE3C22">
        <w:t>T</w:t>
      </w:r>
      <w:r w:rsidR="00E025B9" w:rsidRPr="00AE3C22">
        <w:t xml:space="preserve">he margin of appreciation to be afforded to States </w:t>
      </w:r>
      <w:r w:rsidR="00E025B9" w:rsidRPr="00AE3C22">
        <w:rPr>
          <w:i/>
          <w:iCs/>
        </w:rPr>
        <w:t>is reduced</w:t>
      </w:r>
      <w:r w:rsidR="00E025B9" w:rsidRPr="00AE3C22">
        <w:t xml:space="preserve"> as regards the setting of the requisite aims and objectives, whereas in respect of the choice of means </w:t>
      </w:r>
      <w:r w:rsidR="00AE3C22">
        <w:t>– very relevant for the discussion today -</w:t>
      </w:r>
      <w:r w:rsidR="00E025B9" w:rsidRPr="00AE3C22">
        <w:t xml:space="preserve">to pursue those aims and objectives  </w:t>
      </w:r>
      <w:r w:rsidR="00E025B9" w:rsidRPr="00AE3C22">
        <w:rPr>
          <w:i/>
          <w:iCs/>
        </w:rPr>
        <w:t>remains wide</w:t>
      </w:r>
      <w:r w:rsidRPr="00AE3C22">
        <w:t>.</w:t>
      </w:r>
    </w:p>
    <w:p w14:paraId="61E9A903" w14:textId="77777777" w:rsidR="00A865F5" w:rsidRPr="00AE3C22" w:rsidRDefault="00A865F5" w:rsidP="00E025B9">
      <w:pPr>
        <w:jc w:val="both"/>
      </w:pPr>
    </w:p>
    <w:p w14:paraId="252D9C68" w14:textId="450B69E1" w:rsidR="00E025B9" w:rsidRPr="00AE3C22" w:rsidRDefault="003D2B9C" w:rsidP="00E025B9">
      <w:pPr>
        <w:jc w:val="both"/>
      </w:pPr>
      <w:r w:rsidRPr="00AE3C22">
        <w:t>The ECtHR</w:t>
      </w:r>
      <w:r w:rsidR="00E025B9" w:rsidRPr="00AE3C22">
        <w:t xml:space="preserve"> </w:t>
      </w:r>
      <w:r w:rsidR="00EF417D" w:rsidRPr="00AE3C22">
        <w:t xml:space="preserve"> details the </w:t>
      </w:r>
      <w:r w:rsidR="00E025B9" w:rsidRPr="00AE3C22">
        <w:t xml:space="preserve">States’ positive obligations </w:t>
      </w:r>
      <w:r w:rsidR="00EF417D" w:rsidRPr="00AE3C22">
        <w:t>as follows:</w:t>
      </w:r>
    </w:p>
    <w:p w14:paraId="61D60298" w14:textId="52BE589F" w:rsidR="00E025B9" w:rsidRPr="00AE3C22" w:rsidRDefault="00AE3C22" w:rsidP="00E025B9">
      <w:pPr>
        <w:jc w:val="both"/>
        <w:rPr>
          <w:i/>
          <w:iCs/>
        </w:rPr>
      </w:pPr>
      <w:bookmarkStart w:id="0" w:name="paragraph00550"/>
      <w:r>
        <w:t>“</w:t>
      </w:r>
      <w:r w:rsidR="00EF417D" w:rsidRPr="00AE3C22">
        <w:rPr>
          <w:i/>
          <w:iCs/>
        </w:rPr>
        <w:t xml:space="preserve">(§ </w:t>
      </w:r>
      <w:r w:rsidR="00E025B9" w:rsidRPr="00AE3C22">
        <w:rPr>
          <w:i/>
          <w:iCs/>
        </w:rPr>
        <w:t>550</w:t>
      </w:r>
      <w:bookmarkEnd w:id="0"/>
      <w:r w:rsidR="00B960FD" w:rsidRPr="00AE3C22">
        <w:rPr>
          <w:i/>
          <w:iCs/>
        </w:rPr>
        <w:t>)</w:t>
      </w:r>
      <w:r w:rsidR="00EF417D" w:rsidRPr="00AE3C22">
        <w:rPr>
          <w:i/>
          <w:iCs/>
        </w:rPr>
        <w:t xml:space="preserve"> </w:t>
      </w:r>
      <w:r w:rsidRPr="00AE3C22">
        <w:rPr>
          <w:i/>
          <w:iCs/>
        </w:rPr>
        <w:t xml:space="preserve"> </w:t>
      </w:r>
      <w:r w:rsidR="00E025B9" w:rsidRPr="00AE3C22">
        <w:rPr>
          <w:i/>
          <w:iCs/>
        </w:rPr>
        <w:t>When assessing whether a State has remained within its margin of appreciation</w:t>
      </w:r>
      <w:r w:rsidR="0058222B" w:rsidRPr="00AE3C22">
        <w:rPr>
          <w:i/>
          <w:iCs/>
        </w:rPr>
        <w:t xml:space="preserve">, </w:t>
      </w:r>
      <w:r w:rsidR="00E025B9" w:rsidRPr="00AE3C22">
        <w:rPr>
          <w:i/>
          <w:iCs/>
        </w:rPr>
        <w:t>the Court will examine whether the competent domestic authorities, be it at the legislative, executive or judicial level, have had due regard to the need to:</w:t>
      </w:r>
    </w:p>
    <w:p w14:paraId="6A2E5FA0" w14:textId="77777777" w:rsidR="00E025B9" w:rsidRPr="00AE3C22" w:rsidRDefault="00E025B9" w:rsidP="00E025B9">
      <w:pPr>
        <w:jc w:val="both"/>
        <w:rPr>
          <w:i/>
          <w:iCs/>
        </w:rPr>
      </w:pPr>
      <w:r w:rsidRPr="00AE3C22">
        <w:rPr>
          <w:i/>
          <w:iCs/>
        </w:rPr>
        <w:t>(a) adopt general measures specifying a target timeline for achieving carbon neutrality and the overall remaining carbon budget for the same time frame, or another equivalent method of quantification of future GHG emissions, in line with the overarching goal for national and/or global climate-change mitigation commitments;</w:t>
      </w:r>
    </w:p>
    <w:p w14:paraId="1017783C" w14:textId="77777777" w:rsidR="00E025B9" w:rsidRPr="00AE3C22" w:rsidRDefault="00E025B9" w:rsidP="00E025B9">
      <w:pPr>
        <w:jc w:val="both"/>
        <w:rPr>
          <w:i/>
          <w:iCs/>
        </w:rPr>
      </w:pPr>
      <w:r w:rsidRPr="00AE3C22">
        <w:rPr>
          <w:i/>
          <w:iCs/>
        </w:rPr>
        <w:t>(b) set out intermediate GHG emissions reduction targets and pathways (by sector or other relevant methodologies) that are deemed capable, in principle, of meeting the overall national GHG reduction goals within the relevant time frames undertaken in national policies;</w:t>
      </w:r>
    </w:p>
    <w:p w14:paraId="6F6C59FB" w14:textId="51D9D157" w:rsidR="00E025B9" w:rsidRPr="00AE3C22" w:rsidRDefault="00E025B9" w:rsidP="00E025B9">
      <w:pPr>
        <w:jc w:val="both"/>
        <w:rPr>
          <w:i/>
          <w:iCs/>
        </w:rPr>
      </w:pPr>
      <w:r w:rsidRPr="00AE3C22">
        <w:rPr>
          <w:i/>
          <w:iCs/>
        </w:rPr>
        <w:t>(c) provide evidence showing whether they have duly complied, or are in the process of complying, with the relevant GHG reduction targets;</w:t>
      </w:r>
    </w:p>
    <w:p w14:paraId="2AC4D743" w14:textId="77777777" w:rsidR="00E025B9" w:rsidRPr="00AE3C22" w:rsidRDefault="00E025B9" w:rsidP="00E025B9">
      <w:pPr>
        <w:jc w:val="both"/>
        <w:rPr>
          <w:i/>
          <w:iCs/>
        </w:rPr>
      </w:pPr>
      <w:r w:rsidRPr="00AE3C22">
        <w:rPr>
          <w:i/>
          <w:iCs/>
        </w:rPr>
        <w:t>(d) keep the relevant GHG reduction targets updated with due diligence, and based on the best available evidence; and</w:t>
      </w:r>
    </w:p>
    <w:p w14:paraId="5C830087" w14:textId="77777777" w:rsidR="00E025B9" w:rsidRPr="00AE3C22" w:rsidRDefault="00E025B9" w:rsidP="00E025B9">
      <w:pPr>
        <w:jc w:val="both"/>
        <w:rPr>
          <w:i/>
          <w:iCs/>
        </w:rPr>
      </w:pPr>
      <w:r w:rsidRPr="00AE3C22">
        <w:rPr>
          <w:i/>
          <w:iCs/>
        </w:rPr>
        <w:t>(e) act in good time and in an appropriate and consistent manner when devising and implementing the relevant legislation and measures.</w:t>
      </w:r>
    </w:p>
    <w:p w14:paraId="28B8170F" w14:textId="6B5A379C" w:rsidR="00E025B9" w:rsidRPr="00AE3C22" w:rsidRDefault="00E025B9" w:rsidP="00E025B9">
      <w:pPr>
        <w:jc w:val="both"/>
        <w:rPr>
          <w:i/>
          <w:iCs/>
        </w:rPr>
      </w:pPr>
      <w:r w:rsidRPr="00AE3C22">
        <w:rPr>
          <w:i/>
          <w:iCs/>
        </w:rPr>
        <w:t>The Court’s assessment of whether the above requirements have been met will, in principle, be of an overall nature, meaning that a shortcoming in one particular respect alone will not necessarily entail that the State would be considered to have overstepped its relevant margin of appreciation.</w:t>
      </w:r>
    </w:p>
    <w:p w14:paraId="5380A28B" w14:textId="4B74DE7A" w:rsidR="00EF417D" w:rsidRPr="00AE3C22" w:rsidRDefault="00AE3C22" w:rsidP="0058222B">
      <w:pPr>
        <w:jc w:val="both"/>
      </w:pPr>
      <w:bookmarkStart w:id="1" w:name="paragraph00552"/>
      <w:r>
        <w:t>(…)</w:t>
      </w:r>
    </w:p>
    <w:p w14:paraId="2D810A18" w14:textId="6D68B7CA" w:rsidR="0058222B" w:rsidRPr="00AE3C22" w:rsidRDefault="00EF417D" w:rsidP="0058222B">
      <w:pPr>
        <w:jc w:val="both"/>
        <w:rPr>
          <w:i/>
          <w:iCs/>
        </w:rPr>
      </w:pPr>
      <w:r w:rsidRPr="00AE3C22">
        <w:rPr>
          <w:i/>
          <w:iCs/>
        </w:rPr>
        <w:t xml:space="preserve">(§ </w:t>
      </w:r>
      <w:r w:rsidR="0058222B" w:rsidRPr="00AE3C22">
        <w:rPr>
          <w:i/>
          <w:iCs/>
        </w:rPr>
        <w:t>552</w:t>
      </w:r>
      <w:bookmarkEnd w:id="1"/>
      <w:r w:rsidRPr="00AE3C22">
        <w:rPr>
          <w:i/>
          <w:iCs/>
        </w:rPr>
        <w:t xml:space="preserve">) </w:t>
      </w:r>
      <w:r w:rsidR="0058222B" w:rsidRPr="00AE3C22">
        <w:rPr>
          <w:i/>
          <w:iCs/>
        </w:rPr>
        <w:t xml:space="preserve"> Furthermore, effective protection of the rights of individuals from serious adverse effects on their life, health, well-being and quality of life requires that </w:t>
      </w:r>
      <w:r w:rsidRPr="00AE3C22">
        <w:rPr>
          <w:i/>
          <w:iCs/>
        </w:rPr>
        <w:t xml:space="preserve">these </w:t>
      </w:r>
      <w:r w:rsidR="0058222B" w:rsidRPr="00AE3C22">
        <w:rPr>
          <w:i/>
          <w:iCs/>
        </w:rPr>
        <w:t xml:space="preserve">mitigation measures be supplemented by adaptation measures aimed at alleviating the most severe or imminent consequences of climate change, taking into account any relevant particular needs for protection. Such adaptation measures must be put in place and effectively applied in accordance with the </w:t>
      </w:r>
      <w:r w:rsidR="0058222B" w:rsidRPr="00AE3C22">
        <w:rPr>
          <w:i/>
          <w:iCs/>
        </w:rPr>
        <w:lastRenderedPageBreak/>
        <w:t>best available evidence and consistent with the general structure of the State’s positive obligations in this context</w:t>
      </w:r>
      <w:r w:rsidR="00A865F5" w:rsidRPr="00AE3C22">
        <w:rPr>
          <w:i/>
          <w:iCs/>
        </w:rPr>
        <w:t>.</w:t>
      </w:r>
    </w:p>
    <w:p w14:paraId="4A6D081F" w14:textId="26E9D409" w:rsidR="00EF417D" w:rsidRPr="00AE3C22" w:rsidRDefault="00EF417D" w:rsidP="00EF417D">
      <w:pPr>
        <w:jc w:val="both"/>
        <w:rPr>
          <w:i/>
          <w:iCs/>
        </w:rPr>
      </w:pPr>
      <w:r w:rsidRPr="00AE3C22">
        <w:rPr>
          <w:i/>
          <w:iCs/>
        </w:rPr>
        <w:t xml:space="preserve">(§ </w:t>
      </w:r>
      <w:r w:rsidR="0058222B" w:rsidRPr="00AE3C22">
        <w:rPr>
          <w:i/>
          <w:iCs/>
        </w:rPr>
        <w:t>553</w:t>
      </w:r>
      <w:r w:rsidRPr="00AE3C22">
        <w:rPr>
          <w:i/>
          <w:iCs/>
        </w:rPr>
        <w:t xml:space="preserve">) </w:t>
      </w:r>
      <w:r w:rsidR="00A4077E">
        <w:rPr>
          <w:i/>
          <w:iCs/>
        </w:rPr>
        <w:t>(..)</w:t>
      </w:r>
      <w:r w:rsidR="0058222B" w:rsidRPr="00AE3C22">
        <w:rPr>
          <w:i/>
          <w:iCs/>
        </w:rPr>
        <w:t>  </w:t>
      </w:r>
      <w:r w:rsidRPr="00AE3C22">
        <w:rPr>
          <w:i/>
          <w:iCs/>
        </w:rPr>
        <w:t>T</w:t>
      </w:r>
      <w:r w:rsidR="0058222B" w:rsidRPr="00AE3C22">
        <w:rPr>
          <w:i/>
          <w:iCs/>
        </w:rPr>
        <w:t xml:space="preserve">he procedural safeguards available to those concerned will be especially material in determining whether the respondent State has remained within its margin of appreciation </w:t>
      </w:r>
      <w:r w:rsidR="00A865F5" w:rsidRPr="00AE3C22">
        <w:rPr>
          <w:i/>
          <w:iCs/>
        </w:rPr>
        <w:t>.</w:t>
      </w:r>
    </w:p>
    <w:p w14:paraId="53DD5917" w14:textId="01341B89" w:rsidR="0058222B" w:rsidRPr="00AE3C22" w:rsidRDefault="00EF417D" w:rsidP="0058222B">
      <w:pPr>
        <w:jc w:val="both"/>
        <w:rPr>
          <w:i/>
          <w:iCs/>
        </w:rPr>
      </w:pPr>
      <w:r w:rsidRPr="00AE3C22">
        <w:rPr>
          <w:i/>
          <w:iCs/>
        </w:rPr>
        <w:t>( § 55</w:t>
      </w:r>
      <w:r w:rsidR="00AE3C22">
        <w:rPr>
          <w:i/>
          <w:iCs/>
        </w:rPr>
        <w:t>4</w:t>
      </w:r>
      <w:r w:rsidRPr="00AE3C22">
        <w:rPr>
          <w:i/>
          <w:iCs/>
        </w:rPr>
        <w:t xml:space="preserve">) </w:t>
      </w:r>
      <w:r w:rsidR="00A4077E">
        <w:rPr>
          <w:i/>
          <w:iCs/>
        </w:rPr>
        <w:t xml:space="preserve"> (…)</w:t>
      </w:r>
      <w:r w:rsidRPr="00AE3C22">
        <w:rPr>
          <w:i/>
          <w:iCs/>
        </w:rPr>
        <w:t>T</w:t>
      </w:r>
      <w:r w:rsidR="0058222B" w:rsidRPr="00AE3C22">
        <w:rPr>
          <w:i/>
          <w:iCs/>
        </w:rPr>
        <w:t>he following types of procedural safeguards are to be taken into account as regards the State’s decision-making process in the context of climate change:</w:t>
      </w:r>
    </w:p>
    <w:p w14:paraId="6DAF9A4C" w14:textId="77777777" w:rsidR="0058222B" w:rsidRPr="00AE3C22" w:rsidRDefault="0058222B" w:rsidP="0058222B">
      <w:pPr>
        <w:jc w:val="both"/>
        <w:rPr>
          <w:i/>
          <w:iCs/>
        </w:rPr>
      </w:pPr>
      <w:r w:rsidRPr="00AE3C22">
        <w:rPr>
          <w:i/>
          <w:iCs/>
        </w:rPr>
        <w:t>(a) The information held by public authorities of importance for setting out and implementing the relevant regulations and measures to tackle climate change must be made available to the public, and in particular to those persons who may be affected by the regulations and measures in question or the absence thereof. In this connection, procedural safeguards must be available to ensure that the public can have access to the conclusions of the relevant studies, allowing them to assess the risk to which they are exposed.</w:t>
      </w:r>
    </w:p>
    <w:p w14:paraId="04BF58BD" w14:textId="653C007B" w:rsidR="0058222B" w:rsidRPr="00AE3C22" w:rsidRDefault="0058222B" w:rsidP="0058222B">
      <w:pPr>
        <w:jc w:val="both"/>
        <w:rPr>
          <w:i/>
          <w:iCs/>
        </w:rPr>
      </w:pPr>
      <w:r w:rsidRPr="00AE3C22">
        <w:rPr>
          <w:i/>
          <w:iCs/>
        </w:rPr>
        <w:t>(b) Procedures must be available through which the views of the public, and in particular the interests of those affected or at risk of being affected by the relevant regulations and measures or the absence thereof, can be taken into account in the decision-making process.</w:t>
      </w:r>
      <w:r w:rsidR="00A865F5" w:rsidRPr="00AE3C22">
        <w:rPr>
          <w:i/>
          <w:iCs/>
        </w:rPr>
        <w:t>]</w:t>
      </w:r>
    </w:p>
    <w:p w14:paraId="53590A02" w14:textId="5B6943DB" w:rsidR="00E81759" w:rsidRPr="00AE3C22" w:rsidRDefault="00E81759" w:rsidP="0058222B">
      <w:pPr>
        <w:jc w:val="both"/>
        <w:rPr>
          <w:i/>
          <w:iCs/>
        </w:rPr>
      </w:pPr>
      <w:r w:rsidRPr="00AE3C22">
        <w:rPr>
          <w:i/>
          <w:iCs/>
        </w:rPr>
        <w:t>Because national judiciaries must in the first place uphold the fundamental rights, these requirements, which are minimum requirements, apply also on the review by domestic judges of national climate policies</w:t>
      </w:r>
      <w:r w:rsidR="00EF417D" w:rsidRPr="00AE3C22">
        <w:rPr>
          <w:i/>
          <w:iCs/>
        </w:rPr>
        <w:t>.</w:t>
      </w:r>
      <w:r w:rsidR="00A4077E">
        <w:rPr>
          <w:i/>
          <w:iCs/>
        </w:rPr>
        <w:t>”</w:t>
      </w:r>
    </w:p>
    <w:p w14:paraId="4B3F67E3" w14:textId="2284BC0E" w:rsidR="00857556" w:rsidRPr="00AE3C22" w:rsidRDefault="00E81759" w:rsidP="00E025B9">
      <w:pPr>
        <w:jc w:val="both"/>
      </w:pPr>
      <w:r w:rsidRPr="00AE3C22">
        <w:t xml:space="preserve">The </w:t>
      </w:r>
      <w:r w:rsidR="00A4077E" w:rsidRPr="00AE3C22">
        <w:t xml:space="preserve">International Court of Justice </w:t>
      </w:r>
      <w:r w:rsidR="00A4077E">
        <w:t>(</w:t>
      </w:r>
      <w:r w:rsidR="00FA54E5" w:rsidRPr="00AE3C22">
        <w:t>ICJ</w:t>
      </w:r>
      <w:r w:rsidR="00A4077E">
        <w:t xml:space="preserve">) </w:t>
      </w:r>
      <w:r w:rsidR="00FA54E5" w:rsidRPr="00AE3C22">
        <w:t>Advisory Opinion</w:t>
      </w:r>
      <w:r w:rsidRPr="00AE3C22">
        <w:t xml:space="preserve"> on Climate Obligation of States of </w:t>
      </w:r>
      <w:r w:rsidR="008153AC" w:rsidRPr="00AE3C22">
        <w:t xml:space="preserve">23 July 2025, meanwhile endorsed by the </w:t>
      </w:r>
      <w:r w:rsidR="00A4077E">
        <w:t xml:space="preserve">United Nations General Assembly, </w:t>
      </w:r>
      <w:r w:rsidRPr="00A4077E">
        <w:rPr>
          <w:i/>
          <w:iCs/>
        </w:rPr>
        <w:t xml:space="preserve">might even strengthen </w:t>
      </w:r>
      <w:r w:rsidR="00EF417D" w:rsidRPr="00A4077E">
        <w:rPr>
          <w:i/>
          <w:iCs/>
        </w:rPr>
        <w:t>those judicial obligations</w:t>
      </w:r>
      <w:r w:rsidR="00EF417D" w:rsidRPr="00AE3C22">
        <w:t xml:space="preserve">. </w:t>
      </w:r>
      <w:r w:rsidR="00A4077E">
        <w:t xml:space="preserve">The advisory </w:t>
      </w:r>
      <w:r w:rsidR="00A4077E" w:rsidRPr="00AE3C22">
        <w:t xml:space="preserve">opinions </w:t>
      </w:r>
      <w:r w:rsidR="00A4077E">
        <w:t xml:space="preserve">of the </w:t>
      </w:r>
      <w:r w:rsidR="00EF417D" w:rsidRPr="00AE3C22">
        <w:t>ICJ</w:t>
      </w:r>
      <w:r w:rsidR="00A4077E">
        <w:t xml:space="preserve"> </w:t>
      </w:r>
      <w:r w:rsidR="00EF417D" w:rsidRPr="00AE3C22">
        <w:t>are technically non-binding, but the ICJ’s interpretations carry immense legal weight and moral authority, serving to authoritatively clarify, develop, and ascertain existing rules of international law.</w:t>
      </w:r>
    </w:p>
    <w:p w14:paraId="62C893E7" w14:textId="438B6E91" w:rsidR="00EF417D" w:rsidRPr="00AE3C22" w:rsidRDefault="00EF417D" w:rsidP="00E025B9">
      <w:pPr>
        <w:jc w:val="both"/>
      </w:pPr>
      <w:r w:rsidRPr="00AE3C22">
        <w:t xml:space="preserve">Why is this opinion further reducing the room for </w:t>
      </w:r>
      <w:r w:rsidR="00AC2DCE" w:rsidRPr="00AE3C22">
        <w:t xml:space="preserve">a </w:t>
      </w:r>
      <w:r w:rsidR="007845D4" w:rsidRPr="00AE3C22">
        <w:t>deferential review  ?</w:t>
      </w:r>
    </w:p>
    <w:p w14:paraId="323373D8" w14:textId="009CE92B" w:rsidR="00EF417D" w:rsidRPr="00AE3C22" w:rsidRDefault="007845D4" w:rsidP="00E025B9">
      <w:pPr>
        <w:jc w:val="both"/>
      </w:pPr>
      <w:r w:rsidRPr="00AE3C22">
        <w:t xml:space="preserve">Because </w:t>
      </w:r>
      <w:r w:rsidR="00F211BC" w:rsidRPr="00AE3C22">
        <w:t>in the Opinion one can read inter al</w:t>
      </w:r>
      <w:r w:rsidR="00AC2DCE" w:rsidRPr="00AE3C22">
        <w:t>i</w:t>
      </w:r>
      <w:r w:rsidR="00F211BC" w:rsidRPr="00AE3C22">
        <w:t>a</w:t>
      </w:r>
      <w:r w:rsidR="00A4077E">
        <w:t xml:space="preserve">: </w:t>
      </w:r>
    </w:p>
    <w:p w14:paraId="148B0FB2" w14:textId="01673111" w:rsidR="00E81759" w:rsidRPr="00AE3C22" w:rsidRDefault="00F211BC" w:rsidP="00E81759">
      <w:pPr>
        <w:pStyle w:val="Lijstalinea"/>
        <w:numPr>
          <w:ilvl w:val="0"/>
          <w:numId w:val="1"/>
        </w:numPr>
        <w:jc w:val="both"/>
      </w:pPr>
      <w:r w:rsidRPr="00AE3C22">
        <w:t>T</w:t>
      </w:r>
      <w:r w:rsidR="00E81759" w:rsidRPr="00AE3C22">
        <w:t xml:space="preserve">he </w:t>
      </w:r>
      <w:r w:rsidR="00E81759" w:rsidRPr="00A4077E">
        <w:rPr>
          <w:i/>
          <w:iCs/>
        </w:rPr>
        <w:t>standard of due diligence</w:t>
      </w:r>
      <w:r w:rsidR="00E81759" w:rsidRPr="00AE3C22">
        <w:t xml:space="preserve"> for preventing significant harm to the climate system </w:t>
      </w:r>
      <w:r w:rsidR="008153AC" w:rsidRPr="00AE3C22">
        <w:t xml:space="preserve"> under international customary law </w:t>
      </w:r>
      <w:r w:rsidR="00E81759" w:rsidRPr="00A4077E">
        <w:rPr>
          <w:i/>
          <w:iCs/>
        </w:rPr>
        <w:t>is stringent</w:t>
      </w:r>
      <w:r w:rsidR="007845D4" w:rsidRPr="00AE3C22">
        <w:t xml:space="preserve">; </w:t>
      </w:r>
      <w:r w:rsidR="00E81759" w:rsidRPr="00AE3C22">
        <w:t xml:space="preserve"> due diligence entails not only the adoption of appropriate rules and measures, but also a certain level of vigilance in their </w:t>
      </w:r>
      <w:r w:rsidR="00E81759" w:rsidRPr="00A4077E">
        <w:rPr>
          <w:i/>
          <w:iCs/>
        </w:rPr>
        <w:t>enforcement and the exercise of administrative control</w:t>
      </w:r>
      <w:r w:rsidR="007845D4" w:rsidRPr="00AE3C22">
        <w:t>;</w:t>
      </w:r>
    </w:p>
    <w:p w14:paraId="646544A5" w14:textId="77777777" w:rsidR="00C369B4" w:rsidRPr="00AE3C22" w:rsidRDefault="00C369B4" w:rsidP="00C369B4">
      <w:pPr>
        <w:pStyle w:val="Lijstalinea"/>
        <w:ind w:left="360"/>
        <w:jc w:val="both"/>
      </w:pPr>
    </w:p>
    <w:p w14:paraId="45862F7D" w14:textId="0908CDB1" w:rsidR="008153AC" w:rsidRPr="00AE3C22" w:rsidRDefault="00F211BC" w:rsidP="00E81759">
      <w:pPr>
        <w:pStyle w:val="Lijstalinea"/>
        <w:numPr>
          <w:ilvl w:val="0"/>
          <w:numId w:val="1"/>
        </w:numPr>
        <w:jc w:val="both"/>
      </w:pPr>
      <w:r w:rsidRPr="00AE3C22">
        <w:t>W</w:t>
      </w:r>
      <w:r w:rsidR="008153AC" w:rsidRPr="00AE3C22">
        <w:t>hile the Paris Agreement provides for limiting the global average temperature increase to well below 2°C above pre-industrial levels as a goal and 1.5°C as an additional effort, 1.5°C has become the scientifically based consensus target under the Paris Agreement</w:t>
      </w:r>
      <w:r w:rsidR="007845D4" w:rsidRPr="00AE3C22">
        <w:t xml:space="preserve">;  </w:t>
      </w:r>
      <w:r w:rsidR="008153AC" w:rsidRPr="00AE3C22">
        <w:t>the Court considers the 1.5°C threshold to be the parties’ agreed primary temperature goal for limiting the global average temperature increase under the Paris Agreement</w:t>
      </w:r>
      <w:r w:rsidR="00656A44" w:rsidRPr="00AE3C22">
        <w:t>;</w:t>
      </w:r>
    </w:p>
    <w:p w14:paraId="709CE700" w14:textId="77777777" w:rsidR="00C369B4" w:rsidRPr="00AE3C22" w:rsidRDefault="00C369B4" w:rsidP="00C369B4">
      <w:pPr>
        <w:pStyle w:val="Lijstalinea"/>
      </w:pPr>
    </w:p>
    <w:p w14:paraId="6116FF54" w14:textId="79EAE0CA" w:rsidR="00656A44" w:rsidRPr="00AE3C22" w:rsidRDefault="00C369B4" w:rsidP="00C369B4">
      <w:pPr>
        <w:pStyle w:val="Lijstalinea"/>
        <w:numPr>
          <w:ilvl w:val="0"/>
          <w:numId w:val="1"/>
        </w:numPr>
        <w:jc w:val="both"/>
      </w:pPr>
      <w:r w:rsidRPr="00AE3C22">
        <w:t xml:space="preserve">The obligation to prepare, communicate and maintain successive NDCs is procedural in nature and </w:t>
      </w:r>
      <w:r w:rsidRPr="00A4077E">
        <w:rPr>
          <w:i/>
          <w:iCs/>
        </w:rPr>
        <w:t>an obligation of result</w:t>
      </w:r>
      <w:r w:rsidR="00AC2DCE" w:rsidRPr="00AE3C22">
        <w:t>.</w:t>
      </w:r>
    </w:p>
    <w:p w14:paraId="1CD6B76F" w14:textId="77777777" w:rsidR="00F211BC" w:rsidRPr="00AE3C22" w:rsidRDefault="00F211BC" w:rsidP="00F211BC">
      <w:pPr>
        <w:pStyle w:val="Lijstalinea"/>
        <w:ind w:left="360"/>
        <w:jc w:val="both"/>
      </w:pPr>
    </w:p>
    <w:p w14:paraId="7B8A60B9" w14:textId="79F267DD" w:rsidR="006B4D45" w:rsidRPr="00AE3C22" w:rsidRDefault="006B4D45" w:rsidP="00E81759">
      <w:pPr>
        <w:pStyle w:val="Lijstalinea"/>
        <w:numPr>
          <w:ilvl w:val="0"/>
          <w:numId w:val="1"/>
        </w:numPr>
        <w:jc w:val="both"/>
      </w:pPr>
      <w:r w:rsidRPr="00AE3C22">
        <w:t>All NDCs prepared, communicated and maintained by parties under the Paris Agreement must, when taken together,</w:t>
      </w:r>
      <w:r w:rsidR="00F211BC" w:rsidRPr="00AE3C22">
        <w:t xml:space="preserve"> </w:t>
      </w:r>
      <w:r w:rsidRPr="00AE3C22">
        <w:t xml:space="preserve">be capable of realizing the objectives of the </w:t>
      </w:r>
      <w:r w:rsidR="00656A44" w:rsidRPr="00AE3C22">
        <w:t>Paris Agreement. T</w:t>
      </w:r>
      <w:r w:rsidRPr="00AE3C22">
        <w:t xml:space="preserve">he obligation to pursue domestic mitigation measures is </w:t>
      </w:r>
      <w:r w:rsidRPr="00A4077E">
        <w:rPr>
          <w:i/>
          <w:iCs/>
        </w:rPr>
        <w:t>an obligation of conduct</w:t>
      </w:r>
      <w:r w:rsidR="00F211BC" w:rsidRPr="00AE3C22">
        <w:t xml:space="preserve">: </w:t>
      </w:r>
      <w:r w:rsidRPr="00AE3C22">
        <w:t xml:space="preserve">compliance with that obligation is to be assessed on the basis of whether the parties exercised </w:t>
      </w:r>
      <w:r w:rsidRPr="00A4077E">
        <w:rPr>
          <w:i/>
          <w:iCs/>
        </w:rPr>
        <w:t xml:space="preserve">due </w:t>
      </w:r>
      <w:r w:rsidRPr="00A4077E">
        <w:rPr>
          <w:i/>
          <w:iCs/>
        </w:rPr>
        <w:lastRenderedPageBreak/>
        <w:t>diligence</w:t>
      </w:r>
      <w:r w:rsidRPr="00AE3C22">
        <w:t xml:space="preserve"> in their efforts and in deploying appropriate means to take domestic mitigation measures, including in relation to activities carried out by private actors</w:t>
      </w:r>
      <w:r w:rsidR="00F211BC" w:rsidRPr="00AE3C22">
        <w:t xml:space="preserve">; </w:t>
      </w:r>
      <w:r w:rsidRPr="00AE3C22">
        <w:t>the standard of due diligence attach</w:t>
      </w:r>
      <w:r w:rsidR="00AC2DCE" w:rsidRPr="00AE3C22">
        <w:t>ed</w:t>
      </w:r>
      <w:r w:rsidRPr="00AE3C22">
        <w:t xml:space="preserve"> to the obligation to pursue domestic mitigation measures </w:t>
      </w:r>
      <w:r w:rsidRPr="00A4077E">
        <w:rPr>
          <w:i/>
          <w:iCs/>
        </w:rPr>
        <w:t>is stringent</w:t>
      </w:r>
      <w:r w:rsidRPr="00AE3C22">
        <w:t xml:space="preserve"> on account of the fact that the best available science indicates that the risks and projected adverse impacts and related losses and damages from climate change escalate with every increment of global warming</w:t>
      </w:r>
      <w:r w:rsidR="00F211BC" w:rsidRPr="00AE3C22">
        <w:t xml:space="preserve">; </w:t>
      </w:r>
    </w:p>
    <w:p w14:paraId="42A6B4D7" w14:textId="77777777" w:rsidR="00F211BC" w:rsidRPr="00AE3C22" w:rsidRDefault="00F211BC" w:rsidP="00F211BC">
      <w:pPr>
        <w:pStyle w:val="Lijstalinea"/>
      </w:pPr>
    </w:p>
    <w:p w14:paraId="037BE256" w14:textId="58629998" w:rsidR="00F211BC" w:rsidRPr="00AE3C22" w:rsidRDefault="00F211BC" w:rsidP="00F211BC">
      <w:pPr>
        <w:pStyle w:val="Lijstalinea"/>
        <w:numPr>
          <w:ilvl w:val="0"/>
          <w:numId w:val="1"/>
        </w:numPr>
        <w:jc w:val="both"/>
      </w:pPr>
      <w:r w:rsidRPr="00AE3C22">
        <w:t xml:space="preserve">The  fulfilment of adaptation obligations of parties is to be assessed  against a </w:t>
      </w:r>
      <w:r w:rsidRPr="00A4077E">
        <w:rPr>
          <w:i/>
          <w:iCs/>
        </w:rPr>
        <w:t>standard of due diligence</w:t>
      </w:r>
      <w:r w:rsidRPr="00AE3C22">
        <w:t xml:space="preserve">; parties should  enact appropriate </w:t>
      </w:r>
      <w:r w:rsidR="00AC2DCE" w:rsidRPr="00AE3C22">
        <w:t xml:space="preserve">measures </w:t>
      </w:r>
      <w:r w:rsidRPr="00AE3C22">
        <w:t>that are capable of enhancing  adaptive capacity, strengthening resilience and reducing vulnerability to climate change; parties must use their best efforts, in line with the best available science, with a view to  achieving these objectives.</w:t>
      </w:r>
    </w:p>
    <w:p w14:paraId="06D05E00" w14:textId="77777777" w:rsidR="00F211BC" w:rsidRPr="00AE3C22" w:rsidRDefault="00F211BC" w:rsidP="00F211BC">
      <w:pPr>
        <w:pStyle w:val="Lijstalinea"/>
      </w:pPr>
    </w:p>
    <w:p w14:paraId="2678E405" w14:textId="124F0BA5" w:rsidR="00F211BC" w:rsidRPr="00AE3C22" w:rsidRDefault="00AC2DCE" w:rsidP="00F211BC">
      <w:pPr>
        <w:pStyle w:val="Lijstalinea"/>
        <w:numPr>
          <w:ilvl w:val="0"/>
          <w:numId w:val="1"/>
        </w:numPr>
        <w:jc w:val="both"/>
      </w:pPr>
      <w:r w:rsidRPr="00AE3C22">
        <w:t>Furthermore, t</w:t>
      </w:r>
      <w:r w:rsidR="00F211BC" w:rsidRPr="00AE3C22">
        <w:t>aking into account the adverse effects of climate change on the enjoyment of human rights, the Court considers that the full enjoyment of human rights cannot be ensured without the protection of the climate system and other parts of the environment. In order to guarantee the effective enjoyment of human rights, States must take measures to protect the climate system and other parts of the environment. These measures may include, inter alia, taking mitigation and adaptation measures, with due account given to the protection of human rights, the adoption of standards and legislation, and the regulation of the activities of private actors. Under international human rights law, States are required to take necessary measures in this regard.</w:t>
      </w:r>
    </w:p>
    <w:p w14:paraId="707EA2E0" w14:textId="49EB643F" w:rsidR="00F211BC" w:rsidRPr="00AE3C22" w:rsidRDefault="00F211BC" w:rsidP="00E025B9">
      <w:pPr>
        <w:jc w:val="both"/>
      </w:pPr>
      <w:r w:rsidRPr="00AE3C22">
        <w:t>So domestic judges</w:t>
      </w:r>
      <w:r w:rsidR="00804402" w:rsidRPr="00AE3C22">
        <w:t>,</w:t>
      </w:r>
      <w:r w:rsidRPr="00AE3C22">
        <w:t xml:space="preserve"> when asked to review the overall climate policies of a </w:t>
      </w:r>
      <w:r w:rsidR="00B857DB" w:rsidRPr="00AE3C22">
        <w:t>country</w:t>
      </w:r>
      <w:r w:rsidRPr="00AE3C22">
        <w:t xml:space="preserve"> or a region should </w:t>
      </w:r>
      <w:r w:rsidR="00B857DB" w:rsidRPr="00AE3C22">
        <w:t>apply rat</w:t>
      </w:r>
      <w:r w:rsidR="00A865F5" w:rsidRPr="00AE3C22">
        <w:t>h</w:t>
      </w:r>
      <w:r w:rsidR="00B857DB" w:rsidRPr="00AE3C22">
        <w:t xml:space="preserve">er </w:t>
      </w:r>
      <w:r w:rsidR="00B857DB" w:rsidRPr="00A4077E">
        <w:rPr>
          <w:i/>
          <w:iCs/>
        </w:rPr>
        <w:t>strict scrutiny in light of international customary, climate, environmental and human rights law obligations</w:t>
      </w:r>
      <w:r w:rsidR="00AC2DCE" w:rsidRPr="00A4077E">
        <w:rPr>
          <w:i/>
          <w:iCs/>
        </w:rPr>
        <w:t xml:space="preserve"> in respect of climate change</w:t>
      </w:r>
      <w:r w:rsidR="00AC2DCE" w:rsidRPr="00AE3C22">
        <w:t>.</w:t>
      </w:r>
    </w:p>
    <w:p w14:paraId="4040F93F" w14:textId="2912C004" w:rsidR="00680509" w:rsidRPr="00AE3C22" w:rsidRDefault="00AC2DCE" w:rsidP="00680509">
      <w:pPr>
        <w:jc w:val="both"/>
      </w:pPr>
      <w:r w:rsidRPr="00AE3C22">
        <w:t xml:space="preserve">If </w:t>
      </w:r>
      <w:r w:rsidR="00680509" w:rsidRPr="00AE3C22">
        <w:t>a court concludes, after thorough investigation, that the NDC (</w:t>
      </w:r>
      <w:r w:rsidR="00A4077E">
        <w:t xml:space="preserve">the </w:t>
      </w:r>
      <w:r w:rsidR="00680509" w:rsidRPr="00AE3C22">
        <w:t>NECP</w:t>
      </w:r>
      <w:r w:rsidR="00A4077E">
        <w:t xml:space="preserve"> in an EU Context)</w:t>
      </w:r>
      <w:r w:rsidR="00680509" w:rsidRPr="00AE3C22">
        <w:t xml:space="preserve"> does not meet international legal requirements, the Court should establish this and compel the competent authorities to revise the plan within a specified period, </w:t>
      </w:r>
      <w:r w:rsidR="00845F64" w:rsidRPr="00AE3C22">
        <w:t>subject to</w:t>
      </w:r>
      <w:r w:rsidR="00680509" w:rsidRPr="00AE3C22">
        <w:t xml:space="preserve"> a penalty payment for each day of delay.</w:t>
      </w:r>
    </w:p>
    <w:p w14:paraId="36CEA016" w14:textId="0C3E6FE1" w:rsidR="00680509" w:rsidRPr="00AE3C22" w:rsidRDefault="00680509" w:rsidP="00680509">
      <w:pPr>
        <w:jc w:val="both"/>
      </w:pPr>
      <w:r w:rsidRPr="00AE3C22">
        <w:t>There appears to be a consensus (</w:t>
      </w:r>
      <w:proofErr w:type="spellStart"/>
      <w:r w:rsidRPr="00AE3C22">
        <w:rPr>
          <w:i/>
          <w:iCs/>
        </w:rPr>
        <w:t>Urgenda</w:t>
      </w:r>
      <w:proofErr w:type="spellEnd"/>
      <w:r w:rsidRPr="00AE3C22">
        <w:rPr>
          <w:i/>
          <w:iCs/>
        </w:rPr>
        <w:t xml:space="preserve">, </w:t>
      </w:r>
      <w:proofErr w:type="spellStart"/>
      <w:r w:rsidRPr="00AE3C22">
        <w:rPr>
          <w:i/>
          <w:iCs/>
        </w:rPr>
        <w:t>KlimaSeniorinnen</w:t>
      </w:r>
      <w:proofErr w:type="spellEnd"/>
      <w:r w:rsidRPr="00AE3C22">
        <w:rPr>
          <w:i/>
          <w:iCs/>
        </w:rPr>
        <w:t xml:space="preserve">, Grande </w:t>
      </w:r>
      <w:proofErr w:type="spellStart"/>
      <w:r w:rsidRPr="00AE3C22">
        <w:rPr>
          <w:i/>
          <w:iCs/>
        </w:rPr>
        <w:t>Synthe</w:t>
      </w:r>
      <w:proofErr w:type="spellEnd"/>
      <w:r w:rsidRPr="00AE3C22">
        <w:t xml:space="preserve">) that this does not constitute a violation of the principle of the separation of powers and that </w:t>
      </w:r>
      <w:r w:rsidR="00845F64" w:rsidRPr="00AE3C22">
        <w:t>a</w:t>
      </w:r>
      <w:r w:rsidR="00341C82" w:rsidRPr="00AE3C22">
        <w:t xml:space="preserve"> </w:t>
      </w:r>
      <w:r w:rsidRPr="00AE3C22">
        <w:t>court is thereby not venturing into</w:t>
      </w:r>
      <w:r w:rsidR="00A4077E">
        <w:t xml:space="preserve"> the </w:t>
      </w:r>
      <w:r w:rsidRPr="00AE3C22">
        <w:t xml:space="preserve"> political territory. It would be different if the court were to determine the content of the plan itself</w:t>
      </w:r>
      <w:r w:rsidR="00D34C28" w:rsidRPr="00AE3C22">
        <w:t>, because that would entail a lot of political considerations regarding finding an acceptable mix of instruments to address a very complex problem.</w:t>
      </w:r>
    </w:p>
    <w:p w14:paraId="62DDABE5" w14:textId="77777777" w:rsidR="00A4077E" w:rsidRDefault="00680509" w:rsidP="00680509">
      <w:pPr>
        <w:jc w:val="both"/>
      </w:pPr>
      <w:r w:rsidRPr="00AE3C22">
        <w:t xml:space="preserve">There may be debate as to whether a precise emission reduction order is possible or not. The Court of first instance in the </w:t>
      </w:r>
      <w:r w:rsidRPr="00AE3C22">
        <w:rPr>
          <w:i/>
          <w:iCs/>
        </w:rPr>
        <w:t>Klimaatzaak</w:t>
      </w:r>
      <w:r w:rsidRPr="00AE3C22">
        <w:t xml:space="preserve"> ruled that that was not possible, while the Court of Appeal ruled otherwise, in line with the Supreme Court of the Netherlands in the </w:t>
      </w:r>
      <w:proofErr w:type="spellStart"/>
      <w:r w:rsidRPr="00AE3C22">
        <w:rPr>
          <w:i/>
          <w:iCs/>
        </w:rPr>
        <w:t>Urgenda</w:t>
      </w:r>
      <w:proofErr w:type="spellEnd"/>
      <w:r w:rsidRPr="00AE3C22">
        <w:rPr>
          <w:i/>
          <w:iCs/>
        </w:rPr>
        <w:t xml:space="preserve"> </w:t>
      </w:r>
      <w:r w:rsidRPr="00AE3C22">
        <w:t xml:space="preserve">case. </w:t>
      </w:r>
    </w:p>
    <w:p w14:paraId="557D84AC" w14:textId="77777777" w:rsidR="004A2763" w:rsidRDefault="00A4077E" w:rsidP="00680509">
      <w:pPr>
        <w:jc w:val="both"/>
      </w:pPr>
      <w:r>
        <w:t>The Supreme Court of the Ne</w:t>
      </w:r>
      <w:r w:rsidR="004A2763">
        <w:t>t</w:t>
      </w:r>
      <w:r>
        <w:t xml:space="preserve">herlands and the Court of Appeal of Brussels </w:t>
      </w:r>
      <w:r w:rsidR="004A2763">
        <w:t xml:space="preserve"> held it this regard that t</w:t>
      </w:r>
      <w:r w:rsidR="00680509" w:rsidRPr="00AE3C22">
        <w:t xml:space="preserve">he right to effective legal protection under Article 13 ECHR </w:t>
      </w:r>
      <w:r w:rsidR="00845F64" w:rsidRPr="00AE3C22">
        <w:t xml:space="preserve">means that </w:t>
      </w:r>
      <w:r w:rsidR="00680509" w:rsidRPr="00AE3C22">
        <w:t xml:space="preserve">the domestic courts are obliged to apply its provisions in accordance with the interpretation of the ECtHR. The protection of human rights it provides is an essential component of a democratic state under the rule of law. The </w:t>
      </w:r>
      <w:r w:rsidR="00D34C28" w:rsidRPr="00AE3C22">
        <w:t>competent authorities are</w:t>
      </w:r>
      <w:r w:rsidR="00680509" w:rsidRPr="00AE3C22">
        <w:t xml:space="preserve"> obliged to do ‘</w:t>
      </w:r>
      <w:r w:rsidR="00D34C28" w:rsidRPr="00AE3C22">
        <w:t>their</w:t>
      </w:r>
      <w:r w:rsidR="00680509" w:rsidRPr="00AE3C22">
        <w:t xml:space="preserve"> part’ in this context. That  duty follows from Articles 2 and 8 ECHR, on the basis of which the State is obliged to protect the right to life and the right to private and family life of its residents.</w:t>
      </w:r>
    </w:p>
    <w:p w14:paraId="5B811DE8" w14:textId="4B578C28" w:rsidR="00981ACB" w:rsidRPr="00AE3C22" w:rsidRDefault="00D34C28" w:rsidP="00680509">
      <w:pPr>
        <w:jc w:val="both"/>
      </w:pPr>
      <w:r w:rsidRPr="00AE3C22">
        <w:lastRenderedPageBreak/>
        <w:t>But off course we are waiting for a final judgment of the Cour de Cassation on this and other issues</w:t>
      </w:r>
      <w:r w:rsidR="00845F64" w:rsidRPr="00AE3C22">
        <w:t>, as Belgium is concerned.</w:t>
      </w:r>
    </w:p>
    <w:p w14:paraId="5BF95228" w14:textId="2ED9D9BE" w:rsidR="00981ACB" w:rsidRPr="00AE3C22" w:rsidRDefault="00981ACB" w:rsidP="00680509">
      <w:pPr>
        <w:jc w:val="both"/>
      </w:pPr>
      <w:r w:rsidRPr="00AE3C22">
        <w:t xml:space="preserve">To conclude, it is perhaps worth noting that the problem presents itself differently in administrative and constitutional jurisprudence. There, the question will be whether specific statutory or administrative measures can withstand scrutiny under the Constitution and higher </w:t>
      </w:r>
      <w:r w:rsidR="00845F64" w:rsidRPr="00AE3C22">
        <w:t xml:space="preserve">legal </w:t>
      </w:r>
      <w:r w:rsidRPr="00AE3C22">
        <w:t>norms, including international and European standards. This will generally be done on the basis of a fairly strict assessment, depending on the standards of review at issue. The sanction will differ from those that can be pronounced by civil courts. Generally, those courts will only be able to annul the rules in question, possibly while maintaining the consequences</w:t>
      </w:r>
      <w:r w:rsidR="00BF34E8" w:rsidRPr="00AE3C22">
        <w:t xml:space="preserve"> of those rules for some time.</w:t>
      </w:r>
    </w:p>
    <w:p w14:paraId="4D84C5DD" w14:textId="77777777" w:rsidR="00D34C28" w:rsidRPr="00AE3C22" w:rsidRDefault="00D34C28" w:rsidP="00680509">
      <w:pPr>
        <w:jc w:val="both"/>
      </w:pPr>
    </w:p>
    <w:p w14:paraId="7CCE2C5C" w14:textId="77777777" w:rsidR="00FA54E5" w:rsidRPr="00AE3C22" w:rsidRDefault="00FA54E5" w:rsidP="00E025B9">
      <w:pPr>
        <w:jc w:val="both"/>
      </w:pPr>
    </w:p>
    <w:sectPr w:rsidR="00FA54E5" w:rsidRPr="00AE3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53C8"/>
    <w:multiLevelType w:val="hybridMultilevel"/>
    <w:tmpl w:val="1F72D9C6"/>
    <w:lvl w:ilvl="0" w:tplc="4D1EE19E">
      <w:start w:val="20"/>
      <w:numFmt w:val="bullet"/>
      <w:lvlText w:val="-"/>
      <w:lvlJc w:val="left"/>
      <w:pPr>
        <w:ind w:left="360" w:hanging="360"/>
      </w:pPr>
      <w:rPr>
        <w:rFonts w:ascii="Aptos" w:eastAsiaTheme="minorHAnsi" w:hAnsi="Apto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353A399A"/>
    <w:multiLevelType w:val="hybridMultilevel"/>
    <w:tmpl w:val="3B082CF8"/>
    <w:lvl w:ilvl="0" w:tplc="7514E1A6">
      <w:start w:val="5"/>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65411523">
    <w:abstractNumId w:val="0"/>
  </w:num>
  <w:num w:numId="2" w16cid:durableId="104162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E7"/>
    <w:rsid w:val="001413A9"/>
    <w:rsid w:val="0025093A"/>
    <w:rsid w:val="00341C82"/>
    <w:rsid w:val="00354643"/>
    <w:rsid w:val="00372C6E"/>
    <w:rsid w:val="00375E3A"/>
    <w:rsid w:val="003D2B9C"/>
    <w:rsid w:val="0042644F"/>
    <w:rsid w:val="004A2763"/>
    <w:rsid w:val="0058222B"/>
    <w:rsid w:val="005918E7"/>
    <w:rsid w:val="005C30CF"/>
    <w:rsid w:val="00656A44"/>
    <w:rsid w:val="00680509"/>
    <w:rsid w:val="006B4D45"/>
    <w:rsid w:val="00737093"/>
    <w:rsid w:val="007845D4"/>
    <w:rsid w:val="00804402"/>
    <w:rsid w:val="008153AC"/>
    <w:rsid w:val="008166FB"/>
    <w:rsid w:val="00845F64"/>
    <w:rsid w:val="00857556"/>
    <w:rsid w:val="008F4CCD"/>
    <w:rsid w:val="008F6336"/>
    <w:rsid w:val="00953B79"/>
    <w:rsid w:val="00953C43"/>
    <w:rsid w:val="00981ACB"/>
    <w:rsid w:val="009E1402"/>
    <w:rsid w:val="00A4077E"/>
    <w:rsid w:val="00A865F5"/>
    <w:rsid w:val="00AC2DCE"/>
    <w:rsid w:val="00AE3C22"/>
    <w:rsid w:val="00B857DB"/>
    <w:rsid w:val="00B960FD"/>
    <w:rsid w:val="00BF34E8"/>
    <w:rsid w:val="00C369B4"/>
    <w:rsid w:val="00D34C28"/>
    <w:rsid w:val="00D70569"/>
    <w:rsid w:val="00DD323C"/>
    <w:rsid w:val="00E025B9"/>
    <w:rsid w:val="00E62707"/>
    <w:rsid w:val="00E81759"/>
    <w:rsid w:val="00EB0AFE"/>
    <w:rsid w:val="00EF417D"/>
    <w:rsid w:val="00F211BC"/>
    <w:rsid w:val="00FA54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803F"/>
  <w15:chartTrackingRefBased/>
  <w15:docId w15:val="{A294F35E-FAF3-40B7-80CA-8CB3C8C4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591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1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18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18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18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18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18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18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18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18E7"/>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5918E7"/>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5918E7"/>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5918E7"/>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5918E7"/>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5918E7"/>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5918E7"/>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5918E7"/>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5918E7"/>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591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18E7"/>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5918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18E7"/>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5918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18E7"/>
    <w:rPr>
      <w:i/>
      <w:iCs/>
      <w:color w:val="404040" w:themeColor="text1" w:themeTint="BF"/>
      <w:lang w:val="en-GB"/>
    </w:rPr>
  </w:style>
  <w:style w:type="paragraph" w:styleId="Lijstalinea">
    <w:name w:val="List Paragraph"/>
    <w:basedOn w:val="Standaard"/>
    <w:uiPriority w:val="34"/>
    <w:qFormat/>
    <w:rsid w:val="005918E7"/>
    <w:pPr>
      <w:ind w:left="720"/>
      <w:contextualSpacing/>
    </w:pPr>
  </w:style>
  <w:style w:type="character" w:styleId="Intensievebenadrukking">
    <w:name w:val="Intense Emphasis"/>
    <w:basedOn w:val="Standaardalinea-lettertype"/>
    <w:uiPriority w:val="21"/>
    <w:qFormat/>
    <w:rsid w:val="005918E7"/>
    <w:rPr>
      <w:i/>
      <w:iCs/>
      <w:color w:val="0F4761" w:themeColor="accent1" w:themeShade="BF"/>
    </w:rPr>
  </w:style>
  <w:style w:type="paragraph" w:styleId="Duidelijkcitaat">
    <w:name w:val="Intense Quote"/>
    <w:basedOn w:val="Standaard"/>
    <w:next w:val="Standaard"/>
    <w:link w:val="DuidelijkcitaatChar"/>
    <w:uiPriority w:val="30"/>
    <w:qFormat/>
    <w:rsid w:val="00591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18E7"/>
    <w:rPr>
      <w:i/>
      <w:iCs/>
      <w:color w:val="0F4761" w:themeColor="accent1" w:themeShade="BF"/>
      <w:lang w:val="en-GB"/>
    </w:rPr>
  </w:style>
  <w:style w:type="character" w:styleId="Intensieveverwijzing">
    <w:name w:val="Intense Reference"/>
    <w:basedOn w:val="Standaardalinea-lettertype"/>
    <w:uiPriority w:val="32"/>
    <w:qFormat/>
    <w:rsid w:val="005918E7"/>
    <w:rPr>
      <w:b/>
      <w:bCs/>
      <w:smallCaps/>
      <w:color w:val="0F4761" w:themeColor="accent1" w:themeShade="BF"/>
      <w:spacing w:val="5"/>
    </w:rPr>
  </w:style>
  <w:style w:type="character" w:styleId="Hyperlink">
    <w:name w:val="Hyperlink"/>
    <w:basedOn w:val="Standaardalinea-lettertype"/>
    <w:uiPriority w:val="99"/>
    <w:unhideWhenUsed/>
    <w:rsid w:val="00E025B9"/>
    <w:rPr>
      <w:color w:val="467886" w:themeColor="hyperlink"/>
      <w:u w:val="single"/>
    </w:rPr>
  </w:style>
  <w:style w:type="character" w:styleId="Onopgelostemelding">
    <w:name w:val="Unresolved Mention"/>
    <w:basedOn w:val="Standaardalinea-lettertype"/>
    <w:uiPriority w:val="99"/>
    <w:semiHidden/>
    <w:unhideWhenUsed/>
    <w:rsid w:val="00E0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2607</Words>
  <Characters>14343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cp:revision>
  <cp:lastPrinted>2026-06-22T11:56:00Z</cp:lastPrinted>
  <dcterms:created xsi:type="dcterms:W3CDTF">2026-06-30T14:54:00Z</dcterms:created>
  <dcterms:modified xsi:type="dcterms:W3CDTF">2026-06-30T14:59:00Z</dcterms:modified>
</cp:coreProperties>
</file>